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DAD9" w14:textId="4722C0BA"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476C51">
        <w:rPr>
          <w:rFonts w:ascii="Arial" w:hAnsi="Arial" w:cs="Arial"/>
          <w:b/>
          <w:sz w:val="28"/>
          <w:szCs w:val="28"/>
        </w:rPr>
        <w:t>1</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5ABC49D2" w:rsidR="00956423" w:rsidRPr="00085A01" w:rsidRDefault="00476C51" w:rsidP="00C0C56B">
      <w:pPr>
        <w:spacing w:before="120" w:after="120" w:line="360" w:lineRule="auto"/>
        <w:rPr>
          <w:rFonts w:ascii="Arial" w:hAnsi="Arial" w:cs="Arial"/>
          <w:sz w:val="22"/>
          <w:szCs w:val="22"/>
        </w:rPr>
      </w:pPr>
      <w:r>
        <w:rPr>
          <w:rFonts w:ascii="Arial" w:hAnsi="Arial" w:cs="Arial"/>
          <w:sz w:val="22"/>
          <w:szCs w:val="22"/>
        </w:rPr>
        <w:t>Y</w:t>
      </w:r>
      <w:r w:rsidR="003F5469" w:rsidRPr="00C0C56B">
        <w:rPr>
          <w:rFonts w:ascii="Arial" w:hAnsi="Arial" w:cs="Arial"/>
          <w:sz w:val="22"/>
          <w:szCs w:val="22"/>
        </w:rPr>
        <w:t>oung children need to form a secure attachment to key person when they join</w:t>
      </w:r>
      <w:r>
        <w:rPr>
          <w:rFonts w:ascii="Arial" w:hAnsi="Arial" w:cs="Arial"/>
          <w:color w:val="FF0000"/>
          <w:sz w:val="22"/>
          <w:szCs w:val="22"/>
        </w:rPr>
        <w:t xml:space="preserve"> </w:t>
      </w:r>
      <w:r w:rsidRPr="00476C51">
        <w:rPr>
          <w:rFonts w:ascii="Arial" w:hAnsi="Arial" w:cs="Arial"/>
          <w:color w:val="4472C4" w:themeColor="accent1"/>
          <w:sz w:val="22"/>
          <w:szCs w:val="22"/>
        </w:rPr>
        <w:t>Happy Stars Thundersley Methodist Preschool</w:t>
      </w:r>
      <w:r w:rsidR="003F5469" w:rsidRPr="00476C51">
        <w:rPr>
          <w:rFonts w:ascii="Arial" w:hAnsi="Arial" w:cs="Arial"/>
          <w:color w:val="4472C4" w:themeColor="accent1"/>
          <w:sz w:val="22"/>
          <w:szCs w:val="22"/>
        </w:rPr>
        <w:t xml:space="preserve"> </w:t>
      </w:r>
      <w:r w:rsidR="003F5469" w:rsidRPr="00C0C56B">
        <w:rPr>
          <w:rFonts w:ascii="Arial" w:hAnsi="Arial" w:cs="Arial"/>
          <w:sz w:val="22"/>
          <w:szCs w:val="22"/>
        </w:rPr>
        <w:t>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5F60FE85"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2645A8C4" w14:textId="4A4E87D2" w:rsidR="00C13CAB" w:rsidRPr="00476C51" w:rsidRDefault="002044E1" w:rsidP="00476C5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lastRenderedPageBreak/>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684A2C84"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w:t>
      </w:r>
      <w:r w:rsidR="00476C51">
        <w:rPr>
          <w:rFonts w:ascii="Arial" w:hAnsi="Arial" w:cs="Arial"/>
          <w:sz w:val="22"/>
          <w:szCs w:val="22"/>
        </w:rPr>
        <w:t>1</w:t>
      </w:r>
      <w:r w:rsidR="00162BC2" w:rsidRPr="4AD2FC73">
        <w:rPr>
          <w:rFonts w:ascii="Arial" w:hAnsi="Arial" w:cs="Arial"/>
          <w:sz w:val="22"/>
          <w:szCs w:val="22"/>
        </w:rPr>
        <w:t>.4/6/7/</w:t>
      </w:r>
      <w:r w:rsidR="00476C51">
        <w:rPr>
          <w:rFonts w:ascii="Arial" w:hAnsi="Arial" w:cs="Arial"/>
          <w:sz w:val="22"/>
          <w:szCs w:val="22"/>
        </w:rPr>
        <w:t>12</w:t>
      </w:r>
      <w:r w:rsidR="00162BC2" w:rsidRPr="4AD2FC73">
        <w:rPr>
          <w:rFonts w:ascii="Arial" w:hAnsi="Arial" w:cs="Arial"/>
          <w:sz w:val="22"/>
          <w:szCs w:val="22"/>
        </w:rPr>
        <w:t>)</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Pr="00085A01"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sectPr w:rsidR="00440223"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1834" w14:textId="77777777" w:rsidR="00D90649" w:rsidRDefault="00D90649" w:rsidP="003C7A9F">
      <w:r>
        <w:separator/>
      </w:r>
    </w:p>
  </w:endnote>
  <w:endnote w:type="continuationSeparator" w:id="0">
    <w:p w14:paraId="1CAF9AA1" w14:textId="77777777" w:rsidR="00D90649" w:rsidRDefault="00D9064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EFE3" w14:textId="77777777" w:rsidR="00476C51" w:rsidRPr="00A33AF5" w:rsidRDefault="00476C51" w:rsidP="00476C51">
    <w:pPr>
      <w:pStyle w:val="Foote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p w14:paraId="10AEA252" w14:textId="77777777" w:rsidR="00476C51" w:rsidRPr="00595EF2" w:rsidRDefault="00476C51" w:rsidP="00476C51">
    <w:pPr>
      <w:pStyle w:val="Footer"/>
    </w:pPr>
  </w:p>
  <w:p w14:paraId="3A1DFBFB" w14:textId="08FBD08A" w:rsidR="00414432" w:rsidRPr="00476C51" w:rsidRDefault="00414432" w:rsidP="0047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EE4D" w14:textId="77777777" w:rsidR="00D90649" w:rsidRDefault="00D90649" w:rsidP="003C7A9F">
      <w:r>
        <w:separator/>
      </w:r>
    </w:p>
  </w:footnote>
  <w:footnote w:type="continuationSeparator" w:id="0">
    <w:p w14:paraId="26409515" w14:textId="77777777" w:rsidR="00D90649" w:rsidRDefault="00D90649"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12C47CC3" w14:textId="77777777" w:rsidR="00476C51" w:rsidRPr="00A109F3" w:rsidRDefault="00476C51" w:rsidP="00476C51">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16F2F04D" w14:textId="73707EEB" w:rsidR="00476C51" w:rsidRPr="00A109F3" w:rsidRDefault="00476C51" w:rsidP="00476C51">
          <w:pPr>
            <w:pStyle w:val="Footer"/>
            <w:rPr>
              <w:rFonts w:asciiTheme="minorHAnsi" w:hAnsiTheme="minorHAnsi" w:cstheme="minorHAnsi"/>
              <w:sz w:val="20"/>
            </w:rPr>
          </w:pPr>
          <w:r>
            <w:rPr>
              <w:rFonts w:asciiTheme="minorHAnsi" w:hAnsiTheme="minorHAnsi" w:cstheme="minorHAnsi"/>
              <w:i/>
              <w:iCs/>
              <w:sz w:val="20"/>
            </w:rPr>
            <w:t>1.</w:t>
          </w:r>
          <w:r>
            <w:rPr>
              <w:rFonts w:asciiTheme="minorHAnsi" w:hAnsiTheme="minorHAnsi" w:cstheme="minorHAnsi"/>
              <w:i/>
              <w:iCs/>
              <w:sz w:val="20"/>
            </w:rPr>
            <w:t xml:space="preserve">3 </w:t>
          </w:r>
          <w:r>
            <w:rPr>
              <w:rFonts w:asciiTheme="minorHAnsi" w:hAnsiTheme="minorHAnsi" w:cstheme="minorHAnsi"/>
              <w:i/>
              <w:iCs/>
              <w:sz w:val="20"/>
            </w:rPr>
            <w:t>Early Years Practice Policy</w:t>
          </w:r>
        </w:p>
        <w:p w14:paraId="2790198B" w14:textId="0AE51371" w:rsidR="67626611" w:rsidRDefault="67626611" w:rsidP="67626611">
          <w:pPr>
            <w:pStyle w:val="Header"/>
            <w:ind w:left="-115"/>
          </w:pPr>
        </w:p>
      </w:tc>
      <w:tc>
        <w:tcPr>
          <w:tcW w:w="3485" w:type="dxa"/>
        </w:tcPr>
        <w:p w14:paraId="7A8F0466" w14:textId="0CCDD46B" w:rsidR="67626611" w:rsidRDefault="67626611" w:rsidP="67626611">
          <w:pPr>
            <w:pStyle w:val="Header"/>
            <w:jc w:val="center"/>
          </w:pP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76C51"/>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infopath/2007/PartnerControls"/>
    <ds:schemaRef ds:uri="http://www.w3.org/XML/1998/namespace"/>
    <ds:schemaRef ds:uri="4c3b80c5-640a-4874-b78c-e0b0a16b43ff"/>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9ecd9464-01dd-4d64-bd14-78eb53cb503a"/>
    <ds:schemaRef ds:uri="http://purl.org/dc/terms/"/>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3767</Characters>
  <Application>Microsoft Office Word</Application>
  <DocSecurity>4</DocSecurity>
  <Lines>31</Lines>
  <Paragraphs>8</Paragraphs>
  <ScaleCrop>false</ScaleCrop>
  <Company>Hewlett-Packard Company</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2025-08-20T17:13:00Z</dcterms:created>
  <dcterms:modified xsi:type="dcterms:W3CDTF">2025-08-20T17:13:00Z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